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45" w:type="dxa"/>
        <w:tblLook w:val="04A0" w:firstRow="1" w:lastRow="0" w:firstColumn="1" w:lastColumn="0" w:noHBand="0" w:noVBand="1"/>
      </w:tblPr>
      <w:tblGrid>
        <w:gridCol w:w="3116"/>
        <w:gridCol w:w="2909"/>
        <w:gridCol w:w="7020"/>
      </w:tblGrid>
      <w:tr w:rsidR="00E4512F" w:rsidRPr="004D7DEF" w:rsidTr="004D7DEF">
        <w:tc>
          <w:tcPr>
            <w:tcW w:w="3116" w:type="dxa"/>
          </w:tcPr>
          <w:p w:rsidR="00E4512F" w:rsidRPr="004D7DEF" w:rsidRDefault="00E4512F">
            <w:pPr>
              <w:rPr>
                <w:b/>
                <w:sz w:val="28"/>
                <w:szCs w:val="28"/>
              </w:rPr>
            </w:pPr>
            <w:r w:rsidRPr="004D7DEF">
              <w:rPr>
                <w:b/>
                <w:sz w:val="28"/>
                <w:szCs w:val="28"/>
              </w:rPr>
              <w:t>RESULT</w:t>
            </w:r>
          </w:p>
        </w:tc>
        <w:tc>
          <w:tcPr>
            <w:tcW w:w="2909" w:type="dxa"/>
          </w:tcPr>
          <w:p w:rsidR="00E4512F" w:rsidRPr="004D7DEF" w:rsidRDefault="00E4512F">
            <w:pPr>
              <w:rPr>
                <w:b/>
                <w:sz w:val="28"/>
                <w:szCs w:val="28"/>
              </w:rPr>
            </w:pPr>
            <w:r w:rsidRPr="004D7DEF">
              <w:rPr>
                <w:b/>
                <w:sz w:val="28"/>
                <w:szCs w:val="28"/>
              </w:rPr>
              <w:t xml:space="preserve">INDICATOR </w:t>
            </w:r>
          </w:p>
        </w:tc>
        <w:tc>
          <w:tcPr>
            <w:tcW w:w="7020" w:type="dxa"/>
          </w:tcPr>
          <w:p w:rsidR="00E4512F" w:rsidRPr="004D7DEF" w:rsidRDefault="00E4512F">
            <w:pPr>
              <w:rPr>
                <w:b/>
                <w:sz w:val="28"/>
                <w:szCs w:val="28"/>
              </w:rPr>
            </w:pPr>
            <w:r w:rsidRPr="004D7DEF">
              <w:rPr>
                <w:b/>
                <w:sz w:val="28"/>
                <w:szCs w:val="28"/>
              </w:rPr>
              <w:t>PROGRESS</w:t>
            </w:r>
          </w:p>
        </w:tc>
      </w:tr>
      <w:tr w:rsidR="00E4512F" w:rsidRPr="00D03D3C" w:rsidTr="004D7DEF">
        <w:tc>
          <w:tcPr>
            <w:tcW w:w="3116" w:type="dxa"/>
          </w:tcPr>
          <w:p w:rsidR="009F041E" w:rsidRPr="00A02DB5" w:rsidRDefault="009F041E" w:rsidP="009F041E">
            <w:pPr>
              <w:autoSpaceDE w:val="0"/>
              <w:autoSpaceDN w:val="0"/>
              <w:adjustRightInd w:val="0"/>
              <w:rPr>
                <w:rFonts w:ascii="Arial" w:hAnsi="Arial" w:cs="Arial"/>
              </w:rPr>
            </w:pPr>
            <w:r w:rsidRPr="00A02DB5">
              <w:rPr>
                <w:rFonts w:ascii="Arial" w:hAnsi="Arial" w:cs="Arial"/>
                <w:b/>
              </w:rPr>
              <w:t xml:space="preserve">Result 1: </w:t>
            </w:r>
            <w:r w:rsidRPr="00A02DB5">
              <w:rPr>
                <w:rFonts w:ascii="Arial" w:hAnsi="Arial" w:cs="Arial"/>
              </w:rPr>
              <w:t xml:space="preserve">The </w:t>
            </w:r>
            <w:proofErr w:type="spellStart"/>
            <w:r w:rsidRPr="00A02DB5">
              <w:rPr>
                <w:rFonts w:ascii="Arial" w:hAnsi="Arial" w:cs="Arial"/>
              </w:rPr>
              <w:t>Bumbu</w:t>
            </w:r>
            <w:proofErr w:type="spellEnd"/>
            <w:r w:rsidRPr="00A02DB5">
              <w:rPr>
                <w:rFonts w:ascii="Arial" w:hAnsi="Arial" w:cs="Arial"/>
              </w:rPr>
              <w:t xml:space="preserve"> communities and their corresponding Local Level Government bodies are more resilient to climate induced inland l flooding and other hazards through development of Community Disaster Response Plan and capacitated Community Disaster Management Committee and Task Forces</w:t>
            </w:r>
          </w:p>
          <w:p w:rsidR="00E4512F" w:rsidRPr="00A02DB5" w:rsidRDefault="00E4512F">
            <w:pPr>
              <w:rPr>
                <w:rFonts w:ascii="Arial" w:hAnsi="Arial" w:cs="Arial"/>
              </w:rPr>
            </w:pPr>
          </w:p>
        </w:tc>
        <w:tc>
          <w:tcPr>
            <w:tcW w:w="2909" w:type="dxa"/>
          </w:tcPr>
          <w:p w:rsidR="009F041E" w:rsidRPr="00A02DB5" w:rsidRDefault="009F041E" w:rsidP="009F041E">
            <w:pPr>
              <w:ind w:left="270"/>
              <w:rPr>
                <w:rFonts w:ascii="Arial" w:hAnsi="Arial" w:cs="Arial"/>
                <w:b/>
              </w:rPr>
            </w:pPr>
            <w:r w:rsidRPr="00A02DB5">
              <w:rPr>
                <w:rFonts w:ascii="Arial" w:hAnsi="Arial" w:cs="Arial"/>
                <w:b/>
              </w:rPr>
              <w:t xml:space="preserve">Indicator 1.1 </w:t>
            </w:r>
          </w:p>
          <w:p w:rsidR="009F041E" w:rsidRPr="00A02DB5" w:rsidRDefault="009F041E" w:rsidP="009F041E">
            <w:pPr>
              <w:ind w:left="270"/>
              <w:rPr>
                <w:rFonts w:ascii="Arial" w:hAnsi="Arial" w:cs="Arial"/>
              </w:rPr>
            </w:pPr>
            <w:r w:rsidRPr="00A02DB5">
              <w:rPr>
                <w:rFonts w:ascii="Arial" w:hAnsi="Arial" w:cs="Arial"/>
              </w:rPr>
              <w:t>4 targeted communities in the ward have capacitated community disaster management committee (CDMC) and task forces.</w:t>
            </w:r>
          </w:p>
          <w:p w:rsidR="009F041E" w:rsidRPr="00A02DB5" w:rsidRDefault="009F041E" w:rsidP="009F041E">
            <w:pPr>
              <w:ind w:left="270"/>
              <w:rPr>
                <w:rFonts w:ascii="Arial" w:hAnsi="Arial" w:cs="Arial"/>
                <w:b/>
              </w:rPr>
            </w:pPr>
            <w:r w:rsidRPr="00A02DB5">
              <w:rPr>
                <w:rFonts w:ascii="Arial" w:hAnsi="Arial" w:cs="Arial"/>
                <w:b/>
              </w:rPr>
              <w:t xml:space="preserve">Target Value: </w:t>
            </w:r>
          </w:p>
          <w:p w:rsidR="009F041E" w:rsidRPr="00A02DB5" w:rsidRDefault="009F041E" w:rsidP="009F041E">
            <w:pPr>
              <w:ind w:left="270"/>
              <w:rPr>
                <w:rFonts w:ascii="Arial" w:hAnsi="Arial" w:cs="Arial"/>
              </w:rPr>
            </w:pPr>
            <w:r w:rsidRPr="00A02DB5">
              <w:rPr>
                <w:rFonts w:ascii="Arial" w:hAnsi="Arial" w:cs="Arial"/>
              </w:rPr>
              <w:t xml:space="preserve">4 CDMC </w:t>
            </w:r>
          </w:p>
          <w:p w:rsidR="009F041E" w:rsidRPr="00A02DB5" w:rsidRDefault="009F041E" w:rsidP="009F041E">
            <w:pPr>
              <w:ind w:left="270"/>
              <w:rPr>
                <w:rFonts w:ascii="Arial" w:hAnsi="Arial" w:cs="Arial"/>
              </w:rPr>
            </w:pPr>
            <w:r w:rsidRPr="00A02DB5">
              <w:rPr>
                <w:rFonts w:ascii="Arial" w:hAnsi="Arial" w:cs="Arial"/>
              </w:rPr>
              <w:t xml:space="preserve">16 task forces. </w:t>
            </w:r>
          </w:p>
          <w:p w:rsidR="009F041E" w:rsidRPr="00A02DB5" w:rsidRDefault="009F041E" w:rsidP="009F041E">
            <w:pPr>
              <w:ind w:left="270"/>
              <w:rPr>
                <w:rFonts w:ascii="Arial" w:hAnsi="Arial" w:cs="Arial"/>
              </w:rPr>
            </w:pPr>
            <w:r w:rsidRPr="00A02DB5">
              <w:rPr>
                <w:rFonts w:ascii="Arial" w:hAnsi="Arial" w:cs="Arial"/>
              </w:rPr>
              <w:t>(4 task force per community)</w:t>
            </w:r>
          </w:p>
          <w:p w:rsidR="009F041E" w:rsidRPr="00A02DB5" w:rsidRDefault="009F041E" w:rsidP="009F041E">
            <w:pPr>
              <w:ind w:left="270"/>
              <w:rPr>
                <w:rFonts w:ascii="Arial" w:hAnsi="Arial" w:cs="Arial"/>
                <w:i/>
              </w:rPr>
            </w:pPr>
            <w:r w:rsidRPr="00A02DB5">
              <w:rPr>
                <w:rFonts w:ascii="Arial" w:hAnsi="Arial" w:cs="Arial"/>
                <w:i/>
              </w:rPr>
              <w:t>45% women representing per taskforce.</w:t>
            </w:r>
          </w:p>
          <w:p w:rsidR="009F041E" w:rsidRPr="00A02DB5" w:rsidRDefault="009F041E" w:rsidP="009F041E">
            <w:pPr>
              <w:ind w:left="270"/>
              <w:rPr>
                <w:rFonts w:ascii="Arial" w:hAnsi="Arial" w:cs="Arial"/>
              </w:rPr>
            </w:pPr>
          </w:p>
          <w:p w:rsidR="009F041E" w:rsidRPr="00A02DB5" w:rsidRDefault="009F041E" w:rsidP="009F041E">
            <w:pPr>
              <w:ind w:left="270"/>
              <w:rPr>
                <w:rFonts w:ascii="Arial" w:hAnsi="Arial" w:cs="Arial"/>
              </w:rPr>
            </w:pPr>
            <w:r w:rsidRPr="00A02DB5">
              <w:rPr>
                <w:rFonts w:ascii="Arial" w:hAnsi="Arial" w:cs="Arial"/>
                <w:b/>
              </w:rPr>
              <w:t>Indicator 1.2</w:t>
            </w:r>
            <w:r w:rsidRPr="00A02DB5">
              <w:rPr>
                <w:rFonts w:ascii="Arial" w:hAnsi="Arial" w:cs="Arial"/>
              </w:rPr>
              <w:t xml:space="preserve">. </w:t>
            </w:r>
          </w:p>
          <w:p w:rsidR="009F041E" w:rsidRPr="00A02DB5" w:rsidRDefault="009F041E" w:rsidP="009F041E">
            <w:pPr>
              <w:ind w:left="270"/>
              <w:rPr>
                <w:rFonts w:ascii="Arial" w:hAnsi="Arial" w:cs="Arial"/>
              </w:rPr>
            </w:pPr>
            <w:r w:rsidRPr="00A02DB5">
              <w:rPr>
                <w:rFonts w:ascii="Arial" w:hAnsi="Arial" w:cs="Arial"/>
              </w:rPr>
              <w:t>4 communities in the targeted ward have developed their Disaster Response/Climate Change Adaptation plan.</w:t>
            </w:r>
          </w:p>
          <w:p w:rsidR="009F041E" w:rsidRPr="00A02DB5" w:rsidRDefault="009F041E" w:rsidP="009F041E">
            <w:pPr>
              <w:ind w:left="270"/>
              <w:rPr>
                <w:rFonts w:ascii="Arial" w:hAnsi="Arial" w:cs="Arial"/>
              </w:rPr>
            </w:pPr>
          </w:p>
          <w:p w:rsidR="009F041E" w:rsidRPr="00A02DB5" w:rsidRDefault="009F041E" w:rsidP="009F041E">
            <w:pPr>
              <w:ind w:left="270"/>
              <w:rPr>
                <w:rFonts w:ascii="Arial" w:hAnsi="Arial" w:cs="Arial"/>
                <w:b/>
              </w:rPr>
            </w:pPr>
            <w:r w:rsidRPr="00A02DB5">
              <w:rPr>
                <w:rFonts w:ascii="Arial" w:hAnsi="Arial" w:cs="Arial"/>
                <w:b/>
              </w:rPr>
              <w:t>Indicator 1.3</w:t>
            </w:r>
          </w:p>
          <w:p w:rsidR="009F041E" w:rsidRPr="00A02DB5" w:rsidRDefault="009F041E" w:rsidP="009F041E">
            <w:pPr>
              <w:ind w:left="317"/>
              <w:rPr>
                <w:rFonts w:ascii="Arial" w:hAnsi="Arial" w:cs="Arial"/>
              </w:rPr>
            </w:pPr>
            <w:r w:rsidRPr="00A02DB5">
              <w:rPr>
                <w:rFonts w:ascii="Arial" w:hAnsi="Arial" w:cs="Arial"/>
              </w:rPr>
              <w:t xml:space="preserve">4 communities in the targeted wards have implemented disaster mitigation/climate change adaptation measures. </w:t>
            </w:r>
          </w:p>
          <w:p w:rsidR="009F041E" w:rsidRPr="00A02DB5" w:rsidRDefault="009F041E" w:rsidP="009F041E">
            <w:pPr>
              <w:ind w:left="270"/>
              <w:rPr>
                <w:rFonts w:ascii="Arial" w:hAnsi="Arial" w:cs="Arial"/>
                <w:b/>
              </w:rPr>
            </w:pPr>
            <w:r w:rsidRPr="00A02DB5">
              <w:rPr>
                <w:rFonts w:ascii="Arial" w:hAnsi="Arial" w:cs="Arial"/>
                <w:b/>
              </w:rPr>
              <w:t xml:space="preserve">Target value:  </w:t>
            </w:r>
          </w:p>
          <w:p w:rsidR="009F041E" w:rsidRPr="00A02DB5" w:rsidRDefault="009F041E" w:rsidP="009F041E">
            <w:pPr>
              <w:ind w:left="270"/>
              <w:rPr>
                <w:rFonts w:ascii="Arial" w:hAnsi="Arial" w:cs="Arial"/>
              </w:rPr>
            </w:pPr>
            <w:r w:rsidRPr="00A02DB5">
              <w:rPr>
                <w:rFonts w:ascii="Arial" w:hAnsi="Arial" w:cs="Arial"/>
              </w:rPr>
              <w:t xml:space="preserve">4 Disaster preparedness and response / climate change adaptation plans developed and </w:t>
            </w:r>
            <w:r w:rsidRPr="00A02DB5">
              <w:rPr>
                <w:rFonts w:ascii="Arial" w:hAnsi="Arial" w:cs="Arial"/>
              </w:rPr>
              <w:lastRenderedPageBreak/>
              <w:t>implemented and of the persons involved in the development 45% are women.</w:t>
            </w:r>
          </w:p>
          <w:p w:rsidR="00E4512F" w:rsidRPr="00A02DB5" w:rsidRDefault="00E4512F">
            <w:pPr>
              <w:rPr>
                <w:rFonts w:ascii="Arial" w:hAnsi="Arial" w:cs="Arial"/>
              </w:rPr>
            </w:pPr>
          </w:p>
        </w:tc>
        <w:tc>
          <w:tcPr>
            <w:tcW w:w="7020" w:type="dxa"/>
          </w:tcPr>
          <w:p w:rsidR="00A02DB5" w:rsidRPr="00A02DB5" w:rsidRDefault="00A02DB5" w:rsidP="00CD6178">
            <w:pPr>
              <w:jc w:val="both"/>
              <w:rPr>
                <w:rFonts w:ascii="Arial" w:hAnsi="Arial" w:cs="Arial"/>
              </w:rPr>
            </w:pPr>
            <w:r w:rsidRPr="00A02DB5">
              <w:rPr>
                <w:rFonts w:ascii="Arial" w:hAnsi="Arial" w:cs="Arial"/>
              </w:rPr>
              <w:lastRenderedPageBreak/>
              <w:t>Start-up meetings were conducted in all 4 communities as well as the g</w:t>
            </w:r>
            <w:r>
              <w:rPr>
                <w:rFonts w:ascii="Arial" w:hAnsi="Arial" w:cs="Arial"/>
              </w:rPr>
              <w:t>overning bodies</w:t>
            </w:r>
            <w:r w:rsidRPr="00A02DB5">
              <w:rPr>
                <w:rFonts w:ascii="Arial" w:hAnsi="Arial" w:cs="Arial"/>
              </w:rPr>
              <w:t xml:space="preserve">. The governing bodies include the AHI LLG, </w:t>
            </w:r>
            <w:proofErr w:type="spellStart"/>
            <w:r w:rsidRPr="00A02DB5">
              <w:rPr>
                <w:rFonts w:ascii="Arial" w:hAnsi="Arial" w:cs="Arial"/>
              </w:rPr>
              <w:t>Lae</w:t>
            </w:r>
            <w:proofErr w:type="spellEnd"/>
            <w:r w:rsidRPr="00A02DB5">
              <w:rPr>
                <w:rFonts w:ascii="Arial" w:hAnsi="Arial" w:cs="Arial"/>
              </w:rPr>
              <w:t xml:space="preserve"> Urban LLG, </w:t>
            </w:r>
            <w:proofErr w:type="spellStart"/>
            <w:r w:rsidRPr="00A02DB5">
              <w:rPr>
                <w:rFonts w:ascii="Arial" w:hAnsi="Arial" w:cs="Arial"/>
              </w:rPr>
              <w:t>Lae</w:t>
            </w:r>
            <w:proofErr w:type="spellEnd"/>
            <w:r w:rsidRPr="00A02DB5">
              <w:rPr>
                <w:rFonts w:ascii="Arial" w:hAnsi="Arial" w:cs="Arial"/>
              </w:rPr>
              <w:t xml:space="preserve"> district, Provincial Disaster &amp; Emergency Services and the Office of Climate Change and Development</w:t>
            </w:r>
            <w:r>
              <w:rPr>
                <w:rFonts w:ascii="Arial" w:hAnsi="Arial" w:cs="Arial"/>
              </w:rPr>
              <w:t xml:space="preserve">, the logical frame work of the </w:t>
            </w:r>
            <w:proofErr w:type="spellStart"/>
            <w:r>
              <w:rPr>
                <w:rFonts w:ascii="Arial" w:hAnsi="Arial" w:cs="Arial"/>
              </w:rPr>
              <w:t>the</w:t>
            </w:r>
            <w:proofErr w:type="spellEnd"/>
            <w:r>
              <w:rPr>
                <w:rFonts w:ascii="Arial" w:hAnsi="Arial" w:cs="Arial"/>
              </w:rPr>
              <w:t xml:space="preserve"> pro</w:t>
            </w:r>
            <w:bookmarkStart w:id="0" w:name="_GoBack"/>
            <w:r>
              <w:rPr>
                <w:rFonts w:ascii="Arial" w:hAnsi="Arial" w:cs="Arial"/>
              </w:rPr>
              <w:t>j</w:t>
            </w:r>
            <w:bookmarkEnd w:id="0"/>
            <w:r>
              <w:rPr>
                <w:rFonts w:ascii="Arial" w:hAnsi="Arial" w:cs="Arial"/>
              </w:rPr>
              <w:t>ect was briefly shared with the respective offices and how best they can contribute towards making communities more safer and resilient</w:t>
            </w:r>
            <w:r w:rsidRPr="00A02DB5">
              <w:rPr>
                <w:rFonts w:ascii="Arial" w:hAnsi="Arial" w:cs="Arial"/>
              </w:rPr>
              <w:t xml:space="preserve">. The </w:t>
            </w:r>
            <w:r>
              <w:rPr>
                <w:rFonts w:ascii="Arial" w:hAnsi="Arial" w:cs="Arial"/>
              </w:rPr>
              <w:t>main activit</w:t>
            </w:r>
            <w:r w:rsidR="00CD6178">
              <w:rPr>
                <w:rFonts w:ascii="Arial" w:hAnsi="Arial" w:cs="Arial"/>
              </w:rPr>
              <w:t>ies highlighted</w:t>
            </w:r>
            <w:r>
              <w:rPr>
                <w:rFonts w:ascii="Arial" w:hAnsi="Arial" w:cs="Arial"/>
              </w:rPr>
              <w:t xml:space="preserve"> during this meeting</w:t>
            </w:r>
            <w:r w:rsidR="00CD6178">
              <w:rPr>
                <w:rFonts w:ascii="Arial" w:hAnsi="Arial" w:cs="Arial"/>
              </w:rPr>
              <w:t xml:space="preserve"> was on</w:t>
            </w:r>
            <w:r w:rsidRPr="00A02DB5">
              <w:rPr>
                <w:rFonts w:ascii="Arial" w:hAnsi="Arial" w:cs="Arial"/>
              </w:rPr>
              <w:t xml:space="preserve"> disaster and clima</w:t>
            </w:r>
            <w:r w:rsidR="00CD6178">
              <w:rPr>
                <w:rFonts w:ascii="Arial" w:hAnsi="Arial" w:cs="Arial"/>
              </w:rPr>
              <w:t>te change adaptations, mitigation initiatives</w:t>
            </w:r>
            <w:r w:rsidRPr="00A02DB5">
              <w:rPr>
                <w:rFonts w:ascii="Arial" w:hAnsi="Arial" w:cs="Arial"/>
              </w:rPr>
              <w:t xml:space="preserve"> the haz</w:t>
            </w:r>
            <w:r w:rsidR="00CD6178">
              <w:rPr>
                <w:rFonts w:ascii="Arial" w:hAnsi="Arial" w:cs="Arial"/>
              </w:rPr>
              <w:t>ards and risks assessments, linking indigenous early warning system and the baseline survey.</w:t>
            </w:r>
            <w:r w:rsidRPr="00A02DB5">
              <w:rPr>
                <w:rFonts w:ascii="Arial" w:hAnsi="Arial" w:cs="Arial"/>
              </w:rPr>
              <w:t xml:space="preserve">  </w:t>
            </w:r>
          </w:p>
          <w:p w:rsidR="00A02DB5" w:rsidRPr="00A02DB5" w:rsidRDefault="00A02DB5" w:rsidP="00CD6178">
            <w:pPr>
              <w:jc w:val="both"/>
              <w:rPr>
                <w:rFonts w:ascii="Arial" w:hAnsi="Arial" w:cs="Arial"/>
              </w:rPr>
            </w:pPr>
            <w:r w:rsidRPr="00A02DB5">
              <w:rPr>
                <w:rFonts w:ascii="Arial" w:hAnsi="Arial" w:cs="Arial"/>
              </w:rPr>
              <w:t xml:space="preserve">In addition, the governing bodies were also </w:t>
            </w:r>
            <w:r w:rsidR="00CD6178">
              <w:rPr>
                <w:rFonts w:ascii="Arial" w:hAnsi="Arial" w:cs="Arial"/>
              </w:rPr>
              <w:t>briefed</w:t>
            </w:r>
            <w:r w:rsidRPr="00A02DB5">
              <w:rPr>
                <w:rFonts w:ascii="Arial" w:hAnsi="Arial" w:cs="Arial"/>
              </w:rPr>
              <w:t xml:space="preserve"> on the approach of coordination between the community </w:t>
            </w:r>
            <w:r w:rsidR="00CD6178">
              <w:rPr>
                <w:rFonts w:ascii="Arial" w:hAnsi="Arial" w:cs="Arial"/>
              </w:rPr>
              <w:t xml:space="preserve">disaster management committee (CDMC) </w:t>
            </w:r>
            <w:r w:rsidRPr="00A02DB5">
              <w:rPr>
                <w:rFonts w:ascii="Arial" w:hAnsi="Arial" w:cs="Arial"/>
              </w:rPr>
              <w:t xml:space="preserve">and </w:t>
            </w:r>
            <w:r w:rsidR="00CD6178">
              <w:rPr>
                <w:rFonts w:ascii="Arial" w:hAnsi="Arial" w:cs="Arial"/>
              </w:rPr>
              <w:t>authorities</w:t>
            </w:r>
            <w:r w:rsidRPr="00A02DB5">
              <w:rPr>
                <w:rFonts w:ascii="Arial" w:hAnsi="Arial" w:cs="Arial"/>
              </w:rPr>
              <w:t xml:space="preserve">. </w:t>
            </w:r>
            <w:r w:rsidR="00CD6178">
              <w:rPr>
                <w:rFonts w:ascii="Arial" w:hAnsi="Arial" w:cs="Arial"/>
              </w:rPr>
              <w:t>For governance and leadership the CDMC chairman will be a representative from the LLG and spends more than 50% of his/her time in the community.</w:t>
            </w:r>
            <w:r w:rsidRPr="00A02DB5">
              <w:rPr>
                <w:rFonts w:ascii="Arial" w:hAnsi="Arial" w:cs="Arial"/>
              </w:rPr>
              <w:t xml:space="preserve">  </w:t>
            </w:r>
          </w:p>
          <w:p w:rsidR="00E4512F" w:rsidRDefault="00E4512F" w:rsidP="00342100">
            <w:pPr>
              <w:jc w:val="both"/>
              <w:rPr>
                <w:rFonts w:ascii="Arial" w:hAnsi="Arial" w:cs="Arial"/>
              </w:rPr>
            </w:pPr>
          </w:p>
          <w:p w:rsidR="00CD6178" w:rsidRDefault="00CD6178" w:rsidP="00342100">
            <w:pPr>
              <w:jc w:val="both"/>
              <w:rPr>
                <w:rFonts w:ascii="Arial" w:hAnsi="Arial" w:cs="Arial"/>
              </w:rPr>
            </w:pPr>
            <w:r w:rsidRPr="00CD6178">
              <w:rPr>
                <w:rFonts w:ascii="Arial" w:hAnsi="Arial" w:cs="Arial"/>
              </w:rPr>
              <w:t>In the start-up meetings the governing bodies as well as the communities were informed of the capacity building activities which would involve trainings on community-based first aid training, food security, disaster and climate change awareness trainings. The project awareness was again reiterated during the baseline surveys done in all 4 communities.</w:t>
            </w:r>
          </w:p>
          <w:p w:rsidR="00A142FD" w:rsidRDefault="00A142FD" w:rsidP="00342100">
            <w:pPr>
              <w:jc w:val="both"/>
              <w:rPr>
                <w:rFonts w:ascii="Arial" w:hAnsi="Arial" w:cs="Arial"/>
              </w:rPr>
            </w:pPr>
          </w:p>
          <w:p w:rsidR="00A142FD" w:rsidRDefault="00A142FD" w:rsidP="00E914B8">
            <w:pPr>
              <w:jc w:val="both"/>
              <w:rPr>
                <w:rFonts w:ascii="Arial" w:hAnsi="Arial" w:cs="Arial"/>
              </w:rPr>
            </w:pPr>
            <w:r w:rsidRPr="00A142FD">
              <w:rPr>
                <w:rFonts w:ascii="Arial" w:hAnsi="Arial" w:cs="Arial"/>
              </w:rPr>
              <w:t xml:space="preserve">During project awareness in the communities it was emphasize with the assistance from our partners (Provincial disaster office, AHI &amp; </w:t>
            </w:r>
            <w:proofErr w:type="spellStart"/>
            <w:r w:rsidRPr="00A142FD">
              <w:rPr>
                <w:rFonts w:ascii="Arial" w:hAnsi="Arial" w:cs="Arial"/>
              </w:rPr>
              <w:t>Lae</w:t>
            </w:r>
            <w:proofErr w:type="spellEnd"/>
            <w:r w:rsidRPr="00A142FD">
              <w:rPr>
                <w:rFonts w:ascii="Arial" w:hAnsi="Arial" w:cs="Arial"/>
              </w:rPr>
              <w:t xml:space="preserve"> Urban LLG) who were very supportive during the project awareness (start-up meetings) that the involvement of communities participation in the project implementation would not only help them to respond to disasters but also to plan for disasters which will be part of their ward development plans.  </w:t>
            </w:r>
          </w:p>
          <w:p w:rsidR="00EF2DF4" w:rsidRDefault="00EF2DF4" w:rsidP="00E914B8">
            <w:pPr>
              <w:jc w:val="both"/>
              <w:rPr>
                <w:rFonts w:ascii="Arial" w:hAnsi="Arial" w:cs="Arial"/>
              </w:rPr>
            </w:pPr>
          </w:p>
          <w:p w:rsidR="00651B42" w:rsidRDefault="00651B42" w:rsidP="00651B42">
            <w:pPr>
              <w:rPr>
                <w:b/>
              </w:rPr>
            </w:pPr>
            <w:r>
              <w:rPr>
                <w:b/>
              </w:rPr>
              <w:t>Beneficiaries reached: Baseline for the 3 communities</w:t>
            </w:r>
          </w:p>
          <w:tbl>
            <w:tblPr>
              <w:tblStyle w:val="TableGrid"/>
              <w:tblW w:w="0" w:type="auto"/>
              <w:tblLook w:val="04A0" w:firstRow="1" w:lastRow="0" w:firstColumn="1" w:lastColumn="0" w:noHBand="0" w:noVBand="1"/>
            </w:tblPr>
            <w:tblGrid>
              <w:gridCol w:w="1129"/>
              <w:gridCol w:w="1560"/>
              <w:gridCol w:w="1275"/>
            </w:tblGrid>
            <w:tr w:rsidR="00651B42" w:rsidTr="002432F4">
              <w:tc>
                <w:tcPr>
                  <w:tcW w:w="1129" w:type="dxa"/>
                  <w:tcBorders>
                    <w:top w:val="single" w:sz="4" w:space="0" w:color="auto"/>
                    <w:left w:val="single" w:sz="4" w:space="0" w:color="auto"/>
                    <w:bottom w:val="single" w:sz="4" w:space="0" w:color="auto"/>
                    <w:right w:val="single" w:sz="4" w:space="0" w:color="auto"/>
                  </w:tcBorders>
                  <w:hideMark/>
                </w:tcPr>
                <w:p w:rsidR="00651B42" w:rsidRDefault="00651B42" w:rsidP="00651B42">
                  <w:r>
                    <w:t>Male</w:t>
                  </w:r>
                </w:p>
              </w:tc>
              <w:tc>
                <w:tcPr>
                  <w:tcW w:w="1560" w:type="dxa"/>
                  <w:tcBorders>
                    <w:top w:val="single" w:sz="4" w:space="0" w:color="auto"/>
                    <w:left w:val="single" w:sz="4" w:space="0" w:color="auto"/>
                    <w:bottom w:val="single" w:sz="4" w:space="0" w:color="auto"/>
                    <w:right w:val="single" w:sz="4" w:space="0" w:color="auto"/>
                  </w:tcBorders>
                  <w:hideMark/>
                </w:tcPr>
                <w:p w:rsidR="00651B42" w:rsidRDefault="00651B42" w:rsidP="00651B42">
                  <w:r>
                    <w:t>Female</w:t>
                  </w:r>
                </w:p>
              </w:tc>
              <w:tc>
                <w:tcPr>
                  <w:tcW w:w="1275" w:type="dxa"/>
                  <w:tcBorders>
                    <w:top w:val="single" w:sz="4" w:space="0" w:color="auto"/>
                    <w:left w:val="single" w:sz="4" w:space="0" w:color="auto"/>
                    <w:bottom w:val="single" w:sz="4" w:space="0" w:color="auto"/>
                    <w:right w:val="single" w:sz="4" w:space="0" w:color="auto"/>
                  </w:tcBorders>
                  <w:hideMark/>
                </w:tcPr>
                <w:p w:rsidR="00651B42" w:rsidRDefault="00651B42" w:rsidP="00651B42">
                  <w:r>
                    <w:t>Total</w:t>
                  </w:r>
                </w:p>
              </w:tc>
            </w:tr>
            <w:tr w:rsidR="00651B42" w:rsidTr="002432F4">
              <w:tc>
                <w:tcPr>
                  <w:tcW w:w="1129" w:type="dxa"/>
                  <w:tcBorders>
                    <w:top w:val="single" w:sz="4" w:space="0" w:color="auto"/>
                    <w:left w:val="single" w:sz="4" w:space="0" w:color="auto"/>
                    <w:bottom w:val="single" w:sz="4" w:space="0" w:color="auto"/>
                    <w:right w:val="single" w:sz="4" w:space="0" w:color="auto"/>
                  </w:tcBorders>
                  <w:hideMark/>
                </w:tcPr>
                <w:p w:rsidR="00651B42" w:rsidRDefault="00651B42" w:rsidP="00651B42">
                  <w:r>
                    <w:t>562</w:t>
                  </w:r>
                </w:p>
              </w:tc>
              <w:tc>
                <w:tcPr>
                  <w:tcW w:w="1560" w:type="dxa"/>
                  <w:tcBorders>
                    <w:top w:val="single" w:sz="4" w:space="0" w:color="auto"/>
                    <w:left w:val="single" w:sz="4" w:space="0" w:color="auto"/>
                    <w:bottom w:val="single" w:sz="4" w:space="0" w:color="auto"/>
                    <w:right w:val="single" w:sz="4" w:space="0" w:color="auto"/>
                  </w:tcBorders>
                  <w:hideMark/>
                </w:tcPr>
                <w:p w:rsidR="00651B42" w:rsidRDefault="00651B42" w:rsidP="00651B42">
                  <w:r>
                    <w:t>514</w:t>
                  </w:r>
                </w:p>
              </w:tc>
              <w:tc>
                <w:tcPr>
                  <w:tcW w:w="1275" w:type="dxa"/>
                  <w:tcBorders>
                    <w:top w:val="single" w:sz="4" w:space="0" w:color="auto"/>
                    <w:left w:val="single" w:sz="4" w:space="0" w:color="auto"/>
                    <w:bottom w:val="single" w:sz="4" w:space="0" w:color="auto"/>
                    <w:right w:val="single" w:sz="4" w:space="0" w:color="auto"/>
                  </w:tcBorders>
                  <w:hideMark/>
                </w:tcPr>
                <w:p w:rsidR="00651B42" w:rsidRDefault="00651B42" w:rsidP="00651B42">
                  <w:r>
                    <w:t>1076</w:t>
                  </w:r>
                </w:p>
              </w:tc>
            </w:tr>
          </w:tbl>
          <w:p w:rsidR="00651B42" w:rsidRDefault="00651B42" w:rsidP="00651B42"/>
          <w:p w:rsidR="00651B42" w:rsidRDefault="00651B42" w:rsidP="00651B42"/>
          <w:p w:rsidR="00651B42" w:rsidRDefault="00651B42" w:rsidP="00651B42">
            <w:pPr>
              <w:rPr>
                <w:b/>
              </w:rPr>
            </w:pPr>
            <w:r>
              <w:rPr>
                <w:b/>
              </w:rPr>
              <w:t>Beneficiaries reached: Baseline &amp; Start-up Meetings</w:t>
            </w:r>
          </w:p>
          <w:tbl>
            <w:tblPr>
              <w:tblStyle w:val="TableGrid"/>
              <w:tblW w:w="0" w:type="auto"/>
              <w:tblLook w:val="04A0" w:firstRow="1" w:lastRow="0" w:firstColumn="1" w:lastColumn="0" w:noHBand="0" w:noVBand="1"/>
            </w:tblPr>
            <w:tblGrid>
              <w:gridCol w:w="1129"/>
              <w:gridCol w:w="1560"/>
              <w:gridCol w:w="1275"/>
            </w:tblGrid>
            <w:tr w:rsidR="00651B42" w:rsidTr="002432F4">
              <w:tc>
                <w:tcPr>
                  <w:tcW w:w="1129" w:type="dxa"/>
                  <w:tcBorders>
                    <w:top w:val="single" w:sz="4" w:space="0" w:color="auto"/>
                    <w:left w:val="single" w:sz="4" w:space="0" w:color="auto"/>
                    <w:bottom w:val="single" w:sz="4" w:space="0" w:color="auto"/>
                    <w:right w:val="single" w:sz="4" w:space="0" w:color="auto"/>
                  </w:tcBorders>
                  <w:hideMark/>
                </w:tcPr>
                <w:p w:rsidR="00651B42" w:rsidRDefault="00651B42" w:rsidP="00651B42">
                  <w:r>
                    <w:t>Male</w:t>
                  </w:r>
                </w:p>
              </w:tc>
              <w:tc>
                <w:tcPr>
                  <w:tcW w:w="1560" w:type="dxa"/>
                  <w:tcBorders>
                    <w:top w:val="single" w:sz="4" w:space="0" w:color="auto"/>
                    <w:left w:val="single" w:sz="4" w:space="0" w:color="auto"/>
                    <w:bottom w:val="single" w:sz="4" w:space="0" w:color="auto"/>
                    <w:right w:val="single" w:sz="4" w:space="0" w:color="auto"/>
                  </w:tcBorders>
                  <w:hideMark/>
                </w:tcPr>
                <w:p w:rsidR="00651B42" w:rsidRDefault="00651B42" w:rsidP="00651B42">
                  <w:r>
                    <w:t>Female</w:t>
                  </w:r>
                </w:p>
              </w:tc>
              <w:tc>
                <w:tcPr>
                  <w:tcW w:w="1275" w:type="dxa"/>
                  <w:tcBorders>
                    <w:top w:val="single" w:sz="4" w:space="0" w:color="auto"/>
                    <w:left w:val="single" w:sz="4" w:space="0" w:color="auto"/>
                    <w:bottom w:val="single" w:sz="4" w:space="0" w:color="auto"/>
                    <w:right w:val="single" w:sz="4" w:space="0" w:color="auto"/>
                  </w:tcBorders>
                  <w:hideMark/>
                </w:tcPr>
                <w:p w:rsidR="00651B42" w:rsidRDefault="00651B42" w:rsidP="00651B42">
                  <w:r>
                    <w:t>Total</w:t>
                  </w:r>
                </w:p>
              </w:tc>
            </w:tr>
            <w:tr w:rsidR="00651B42" w:rsidTr="002432F4">
              <w:tc>
                <w:tcPr>
                  <w:tcW w:w="1129" w:type="dxa"/>
                  <w:tcBorders>
                    <w:top w:val="single" w:sz="4" w:space="0" w:color="auto"/>
                    <w:left w:val="single" w:sz="4" w:space="0" w:color="auto"/>
                    <w:bottom w:val="single" w:sz="4" w:space="0" w:color="auto"/>
                    <w:right w:val="single" w:sz="4" w:space="0" w:color="auto"/>
                  </w:tcBorders>
                  <w:hideMark/>
                </w:tcPr>
                <w:p w:rsidR="00651B42" w:rsidRDefault="00651B42" w:rsidP="00651B42">
                  <w:r>
                    <w:t>584</w:t>
                  </w:r>
                </w:p>
              </w:tc>
              <w:tc>
                <w:tcPr>
                  <w:tcW w:w="1560" w:type="dxa"/>
                  <w:tcBorders>
                    <w:top w:val="single" w:sz="4" w:space="0" w:color="auto"/>
                    <w:left w:val="single" w:sz="4" w:space="0" w:color="auto"/>
                    <w:bottom w:val="single" w:sz="4" w:space="0" w:color="auto"/>
                    <w:right w:val="single" w:sz="4" w:space="0" w:color="auto"/>
                  </w:tcBorders>
                  <w:hideMark/>
                </w:tcPr>
                <w:p w:rsidR="00651B42" w:rsidRDefault="00651B42" w:rsidP="00651B42">
                  <w:r>
                    <w:t>526</w:t>
                  </w:r>
                </w:p>
              </w:tc>
              <w:tc>
                <w:tcPr>
                  <w:tcW w:w="1275" w:type="dxa"/>
                  <w:tcBorders>
                    <w:top w:val="single" w:sz="4" w:space="0" w:color="auto"/>
                    <w:left w:val="single" w:sz="4" w:space="0" w:color="auto"/>
                    <w:bottom w:val="single" w:sz="4" w:space="0" w:color="auto"/>
                    <w:right w:val="single" w:sz="4" w:space="0" w:color="auto"/>
                  </w:tcBorders>
                  <w:hideMark/>
                </w:tcPr>
                <w:p w:rsidR="00651B42" w:rsidRDefault="00651B42" w:rsidP="00651B42">
                  <w:r>
                    <w:t>1110</w:t>
                  </w:r>
                </w:p>
              </w:tc>
            </w:tr>
          </w:tbl>
          <w:p w:rsidR="00EF2DF4" w:rsidRPr="00A142FD" w:rsidRDefault="00EF2DF4" w:rsidP="00E914B8">
            <w:pPr>
              <w:jc w:val="both"/>
              <w:rPr>
                <w:rFonts w:ascii="Arial" w:hAnsi="Arial" w:cs="Arial"/>
              </w:rPr>
            </w:pPr>
          </w:p>
        </w:tc>
      </w:tr>
      <w:tr w:rsidR="00E4512F" w:rsidRPr="00D03D3C" w:rsidTr="004D7DEF">
        <w:tc>
          <w:tcPr>
            <w:tcW w:w="3116" w:type="dxa"/>
          </w:tcPr>
          <w:p w:rsidR="009F041E" w:rsidRPr="00A02DB5" w:rsidRDefault="009F041E" w:rsidP="009F041E">
            <w:pPr>
              <w:rPr>
                <w:rFonts w:ascii="Arial" w:hAnsi="Arial" w:cs="Arial"/>
              </w:rPr>
            </w:pPr>
            <w:r w:rsidRPr="00A02DB5">
              <w:rPr>
                <w:rFonts w:ascii="Arial" w:hAnsi="Arial" w:cs="Arial"/>
                <w:b/>
              </w:rPr>
              <w:lastRenderedPageBreak/>
              <w:t xml:space="preserve">Result 2: </w:t>
            </w:r>
            <w:r w:rsidRPr="00A02DB5">
              <w:rPr>
                <w:rFonts w:ascii="Arial" w:hAnsi="Arial" w:cs="Arial"/>
              </w:rPr>
              <w:t xml:space="preserve">The local/indigenous early warning systems for flooding are developed and shared with local level authorities, and tested in communities by the end of the project.  </w:t>
            </w:r>
          </w:p>
          <w:p w:rsidR="00E4512F" w:rsidRPr="00A02DB5" w:rsidRDefault="00E4512F">
            <w:pPr>
              <w:rPr>
                <w:rFonts w:ascii="Arial" w:hAnsi="Arial" w:cs="Arial"/>
              </w:rPr>
            </w:pPr>
          </w:p>
        </w:tc>
        <w:tc>
          <w:tcPr>
            <w:tcW w:w="2909" w:type="dxa"/>
          </w:tcPr>
          <w:p w:rsidR="009F041E" w:rsidRPr="00A02DB5" w:rsidRDefault="009F041E" w:rsidP="009F041E">
            <w:pPr>
              <w:ind w:left="270"/>
              <w:rPr>
                <w:rFonts w:ascii="Arial" w:hAnsi="Arial" w:cs="Arial"/>
                <w:b/>
              </w:rPr>
            </w:pPr>
            <w:r w:rsidRPr="00A02DB5">
              <w:rPr>
                <w:rFonts w:ascii="Arial" w:hAnsi="Arial" w:cs="Arial"/>
                <w:b/>
              </w:rPr>
              <w:t>Indicator 2.1</w:t>
            </w:r>
          </w:p>
          <w:p w:rsidR="009F041E" w:rsidRPr="00A02DB5" w:rsidRDefault="009F041E" w:rsidP="009F041E">
            <w:pPr>
              <w:ind w:left="270"/>
              <w:rPr>
                <w:rFonts w:ascii="Arial" w:hAnsi="Arial" w:cs="Arial"/>
                <w:b/>
              </w:rPr>
            </w:pPr>
            <w:r w:rsidRPr="00A02DB5">
              <w:rPr>
                <w:rFonts w:ascii="Arial" w:hAnsi="Arial" w:cs="Arial"/>
              </w:rPr>
              <w:t>Early warning local/indigenous system at 4 communities are developed and shared with local level authority.</w:t>
            </w:r>
          </w:p>
          <w:p w:rsidR="009F041E" w:rsidRPr="00A02DB5" w:rsidRDefault="009F041E" w:rsidP="009F041E">
            <w:pPr>
              <w:ind w:left="270"/>
              <w:rPr>
                <w:rFonts w:ascii="Arial" w:hAnsi="Arial" w:cs="Arial"/>
              </w:rPr>
            </w:pPr>
            <w:r w:rsidRPr="00A02DB5">
              <w:rPr>
                <w:rFonts w:ascii="Arial" w:hAnsi="Arial" w:cs="Arial"/>
                <w:b/>
              </w:rPr>
              <w:t xml:space="preserve">Target Value: </w:t>
            </w:r>
            <w:r w:rsidRPr="00A02DB5">
              <w:rPr>
                <w:rFonts w:ascii="Arial" w:hAnsi="Arial" w:cs="Arial"/>
              </w:rPr>
              <w:t xml:space="preserve">4 Indigenous Early Warning Systems and 4 local level authorities. </w:t>
            </w:r>
          </w:p>
          <w:p w:rsidR="00E4512F" w:rsidRPr="00A02DB5" w:rsidRDefault="00E4512F">
            <w:pPr>
              <w:rPr>
                <w:rFonts w:ascii="Arial" w:hAnsi="Arial" w:cs="Arial"/>
              </w:rPr>
            </w:pPr>
          </w:p>
        </w:tc>
        <w:tc>
          <w:tcPr>
            <w:tcW w:w="7020" w:type="dxa"/>
          </w:tcPr>
          <w:p w:rsidR="00C97B10" w:rsidRDefault="00E914B8" w:rsidP="00AE3E1B">
            <w:pPr>
              <w:jc w:val="both"/>
              <w:rPr>
                <w:rFonts w:ascii="Arial" w:hAnsi="Arial" w:cs="Arial"/>
              </w:rPr>
            </w:pPr>
            <w:r w:rsidRPr="00E914B8">
              <w:rPr>
                <w:rFonts w:ascii="Arial" w:hAnsi="Arial" w:cs="Arial"/>
              </w:rPr>
              <w:t xml:space="preserve">During the start-up meetings it was also emphasized that the location of the 4 communities (head, middle and end of </w:t>
            </w:r>
            <w:proofErr w:type="spellStart"/>
            <w:r w:rsidRPr="00E914B8">
              <w:rPr>
                <w:rFonts w:ascii="Arial" w:hAnsi="Arial" w:cs="Arial"/>
              </w:rPr>
              <w:t>Bumbu</w:t>
            </w:r>
            <w:proofErr w:type="spellEnd"/>
            <w:r w:rsidRPr="00E914B8">
              <w:rPr>
                <w:rFonts w:ascii="Arial" w:hAnsi="Arial" w:cs="Arial"/>
              </w:rPr>
              <w:t xml:space="preserve"> river) was chosen that would encourage initial early warning starting from the head and sent downstream in which communities in between these</w:t>
            </w:r>
            <w:r>
              <w:rPr>
                <w:rFonts w:ascii="Arial" w:hAnsi="Arial" w:cs="Arial"/>
              </w:rPr>
              <w:t xml:space="preserve"> locations would also benefit.</w:t>
            </w:r>
          </w:p>
          <w:p w:rsidR="00F56030" w:rsidRDefault="00F56030" w:rsidP="00AE3E1B">
            <w:pPr>
              <w:jc w:val="both"/>
              <w:rPr>
                <w:rFonts w:ascii="Arial" w:hAnsi="Arial" w:cs="Arial"/>
              </w:rPr>
            </w:pPr>
          </w:p>
          <w:p w:rsidR="00F56030" w:rsidRDefault="00F56030" w:rsidP="00AE3E1B">
            <w:pPr>
              <w:jc w:val="both"/>
              <w:rPr>
                <w:rFonts w:ascii="Arial" w:hAnsi="Arial" w:cs="Arial"/>
              </w:rPr>
            </w:pPr>
            <w:r w:rsidRPr="00F56030">
              <w:rPr>
                <w:rFonts w:ascii="Arial" w:hAnsi="Arial" w:cs="Arial"/>
              </w:rPr>
              <w:t>It was also mentioned during the start-up meetings the importance of having an early warning system. Moreover, during the baseline surveys questionnaires were designed to see whether there were early warning systems in place in the communities and that they would either be strengthened or new ones established or existing ones to be improved.</w:t>
            </w:r>
          </w:p>
          <w:p w:rsidR="00F56030" w:rsidRDefault="00F56030" w:rsidP="00AE3E1B">
            <w:pPr>
              <w:jc w:val="both"/>
              <w:rPr>
                <w:rFonts w:ascii="Arial" w:hAnsi="Arial" w:cs="Arial"/>
              </w:rPr>
            </w:pPr>
          </w:p>
          <w:p w:rsidR="00F56030" w:rsidRPr="00F56030" w:rsidRDefault="00F56030" w:rsidP="00AE3E1B">
            <w:pPr>
              <w:jc w:val="both"/>
              <w:rPr>
                <w:rFonts w:ascii="Arial" w:hAnsi="Arial" w:cs="Arial"/>
              </w:rPr>
            </w:pPr>
            <w:r w:rsidRPr="00F56030">
              <w:rPr>
                <w:rFonts w:ascii="Arial" w:hAnsi="Arial" w:cs="Arial"/>
              </w:rPr>
              <w:t xml:space="preserve">The baseline survey activities involved assessments of any existing early warning systems, identifying focal communication points and relevant community members in assisting to find evacuation routes and safe havens. In addition, our partners the AHI and </w:t>
            </w:r>
            <w:proofErr w:type="spellStart"/>
            <w:r w:rsidRPr="00F56030">
              <w:rPr>
                <w:rFonts w:ascii="Arial" w:hAnsi="Arial" w:cs="Arial"/>
              </w:rPr>
              <w:t>Lae</w:t>
            </w:r>
            <w:proofErr w:type="spellEnd"/>
            <w:r w:rsidRPr="00F56030">
              <w:rPr>
                <w:rFonts w:ascii="Arial" w:hAnsi="Arial" w:cs="Arial"/>
              </w:rPr>
              <w:t xml:space="preserve"> Urban staffs were able to accompany project officers to start-up meetings and baseline activities in which first-hand information was also taken.</w:t>
            </w:r>
          </w:p>
        </w:tc>
      </w:tr>
      <w:tr w:rsidR="00E4512F" w:rsidRPr="00D03D3C" w:rsidTr="004D7DEF">
        <w:tc>
          <w:tcPr>
            <w:tcW w:w="3116" w:type="dxa"/>
          </w:tcPr>
          <w:p w:rsidR="009F041E" w:rsidRPr="00A02DB5" w:rsidRDefault="009F041E" w:rsidP="009F041E">
            <w:pPr>
              <w:rPr>
                <w:rFonts w:ascii="Arial" w:hAnsi="Arial" w:cs="Arial"/>
              </w:rPr>
            </w:pPr>
            <w:r w:rsidRPr="00A02DB5">
              <w:rPr>
                <w:rFonts w:ascii="Arial" w:hAnsi="Arial" w:cs="Arial"/>
                <w:b/>
              </w:rPr>
              <w:t xml:space="preserve">Result 3: </w:t>
            </w:r>
            <w:r w:rsidRPr="00A02DB5">
              <w:rPr>
                <w:rFonts w:ascii="Arial" w:hAnsi="Arial" w:cs="Arial"/>
              </w:rPr>
              <w:t>Sharing of best practices in CBDRR is documented and disseminated in PNG</w:t>
            </w:r>
          </w:p>
          <w:p w:rsidR="00E4512F" w:rsidRPr="00A02DB5" w:rsidRDefault="00E4512F">
            <w:pPr>
              <w:rPr>
                <w:rFonts w:ascii="Arial" w:hAnsi="Arial" w:cs="Arial"/>
              </w:rPr>
            </w:pPr>
          </w:p>
        </w:tc>
        <w:tc>
          <w:tcPr>
            <w:tcW w:w="2909" w:type="dxa"/>
          </w:tcPr>
          <w:p w:rsidR="009F041E" w:rsidRPr="00A02DB5" w:rsidRDefault="009F041E" w:rsidP="009F041E">
            <w:pPr>
              <w:pStyle w:val="ListParagraph"/>
              <w:ind w:left="270"/>
              <w:contextualSpacing/>
              <w:rPr>
                <w:rFonts w:ascii="Arial" w:hAnsi="Arial" w:cs="Arial"/>
                <w:b/>
              </w:rPr>
            </w:pPr>
            <w:r w:rsidRPr="00A02DB5">
              <w:rPr>
                <w:rFonts w:ascii="Arial" w:hAnsi="Arial" w:cs="Arial"/>
                <w:b/>
              </w:rPr>
              <w:t xml:space="preserve">Indicator 3.1 </w:t>
            </w:r>
          </w:p>
          <w:p w:rsidR="009F041E" w:rsidRPr="00A02DB5" w:rsidRDefault="009F041E" w:rsidP="009F041E">
            <w:pPr>
              <w:pStyle w:val="ListParagraph"/>
              <w:ind w:left="270"/>
              <w:contextualSpacing/>
              <w:rPr>
                <w:rFonts w:ascii="Arial" w:hAnsi="Arial" w:cs="Arial"/>
              </w:rPr>
            </w:pPr>
            <w:r w:rsidRPr="00A02DB5">
              <w:rPr>
                <w:rFonts w:ascii="Arial" w:hAnsi="Arial" w:cs="Arial"/>
              </w:rPr>
              <w:t xml:space="preserve">A provincial best practice workshop is conducted in </w:t>
            </w:r>
            <w:proofErr w:type="spellStart"/>
            <w:r w:rsidRPr="00A02DB5">
              <w:rPr>
                <w:rFonts w:ascii="Arial" w:hAnsi="Arial" w:cs="Arial"/>
              </w:rPr>
              <w:t>Morobe</w:t>
            </w:r>
            <w:proofErr w:type="spellEnd"/>
            <w:r w:rsidRPr="00A02DB5">
              <w:rPr>
                <w:rFonts w:ascii="Arial" w:hAnsi="Arial" w:cs="Arial"/>
              </w:rPr>
              <w:t xml:space="preserve"> provinces participated relevant actors.</w:t>
            </w:r>
          </w:p>
          <w:p w:rsidR="009F041E" w:rsidRPr="00A02DB5" w:rsidRDefault="009F041E" w:rsidP="009F041E">
            <w:pPr>
              <w:pStyle w:val="ListParagraph"/>
              <w:ind w:left="270"/>
              <w:contextualSpacing/>
              <w:rPr>
                <w:rFonts w:ascii="Arial" w:hAnsi="Arial" w:cs="Arial"/>
              </w:rPr>
            </w:pPr>
            <w:r w:rsidRPr="00A02DB5">
              <w:rPr>
                <w:rFonts w:ascii="Arial" w:hAnsi="Arial" w:cs="Arial"/>
                <w:b/>
              </w:rPr>
              <w:t>Target Value:</w:t>
            </w:r>
            <w:r w:rsidRPr="00A02DB5">
              <w:rPr>
                <w:rFonts w:ascii="Arial" w:hAnsi="Arial" w:cs="Arial"/>
              </w:rPr>
              <w:t xml:space="preserve"> </w:t>
            </w:r>
          </w:p>
          <w:p w:rsidR="009F041E" w:rsidRPr="00A02DB5" w:rsidRDefault="009F041E" w:rsidP="009F041E">
            <w:pPr>
              <w:pStyle w:val="ListParagraph"/>
              <w:ind w:left="270"/>
              <w:contextualSpacing/>
              <w:rPr>
                <w:rFonts w:ascii="Arial" w:hAnsi="Arial" w:cs="Arial"/>
              </w:rPr>
            </w:pPr>
            <w:r w:rsidRPr="00A02DB5">
              <w:rPr>
                <w:rFonts w:ascii="Arial" w:hAnsi="Arial" w:cs="Arial"/>
              </w:rPr>
              <w:t>1 workshops, 25 persons per workshop (35% women and 30% youth attend the workshop).</w:t>
            </w:r>
          </w:p>
          <w:p w:rsidR="009F041E" w:rsidRPr="00A02DB5" w:rsidRDefault="009F041E" w:rsidP="009F041E">
            <w:pPr>
              <w:pStyle w:val="ListParagraph"/>
              <w:ind w:left="270"/>
              <w:contextualSpacing/>
              <w:rPr>
                <w:rFonts w:ascii="Arial" w:hAnsi="Arial" w:cs="Arial"/>
              </w:rPr>
            </w:pPr>
            <w:r w:rsidRPr="00A02DB5">
              <w:rPr>
                <w:rFonts w:ascii="Arial" w:hAnsi="Arial" w:cs="Arial"/>
              </w:rPr>
              <w:t xml:space="preserve"> </w:t>
            </w:r>
          </w:p>
          <w:p w:rsidR="009F041E" w:rsidRPr="00A02DB5" w:rsidRDefault="009F041E" w:rsidP="009F041E">
            <w:pPr>
              <w:pStyle w:val="ListParagraph"/>
              <w:ind w:left="270"/>
              <w:contextualSpacing/>
              <w:rPr>
                <w:rFonts w:ascii="Arial" w:hAnsi="Arial" w:cs="Arial"/>
                <w:b/>
              </w:rPr>
            </w:pPr>
            <w:r w:rsidRPr="00A02DB5">
              <w:rPr>
                <w:rFonts w:ascii="Arial" w:hAnsi="Arial" w:cs="Arial"/>
                <w:b/>
              </w:rPr>
              <w:lastRenderedPageBreak/>
              <w:t xml:space="preserve">Indicator 3.2 </w:t>
            </w:r>
          </w:p>
          <w:p w:rsidR="009F041E" w:rsidRPr="00A02DB5" w:rsidRDefault="009F041E" w:rsidP="009F041E">
            <w:pPr>
              <w:pStyle w:val="ListParagraph"/>
              <w:ind w:left="270"/>
              <w:contextualSpacing/>
              <w:rPr>
                <w:rFonts w:ascii="Arial" w:hAnsi="Arial" w:cs="Arial"/>
              </w:rPr>
            </w:pPr>
            <w:r w:rsidRPr="00A02DB5">
              <w:rPr>
                <w:rFonts w:ascii="Arial" w:hAnsi="Arial" w:cs="Arial"/>
              </w:rPr>
              <w:t>Best practice on Climate change Adaptation and CBDRR is documented and published through identified communication channels (FB, Website, etc.)</w:t>
            </w:r>
          </w:p>
          <w:p w:rsidR="009F041E" w:rsidRPr="00A02DB5" w:rsidRDefault="009F041E" w:rsidP="009F041E">
            <w:pPr>
              <w:pStyle w:val="ListParagraph"/>
              <w:ind w:left="270"/>
              <w:contextualSpacing/>
              <w:rPr>
                <w:rFonts w:ascii="Arial" w:hAnsi="Arial" w:cs="Arial"/>
                <w:b/>
              </w:rPr>
            </w:pPr>
            <w:r w:rsidRPr="00A02DB5">
              <w:rPr>
                <w:rFonts w:ascii="Arial" w:hAnsi="Arial" w:cs="Arial"/>
                <w:b/>
              </w:rPr>
              <w:t xml:space="preserve">Target Value: </w:t>
            </w:r>
          </w:p>
          <w:p w:rsidR="009F041E" w:rsidRPr="00A02DB5" w:rsidRDefault="009F041E" w:rsidP="009F041E">
            <w:pPr>
              <w:pStyle w:val="ListParagraph"/>
              <w:ind w:left="270"/>
              <w:contextualSpacing/>
              <w:rPr>
                <w:rFonts w:ascii="Arial" w:hAnsi="Arial" w:cs="Arial"/>
                <w:b/>
              </w:rPr>
            </w:pPr>
            <w:r w:rsidRPr="00A02DB5">
              <w:rPr>
                <w:rFonts w:ascii="Arial" w:hAnsi="Arial" w:cs="Arial"/>
              </w:rPr>
              <w:t xml:space="preserve">1 Best practice IEC tool is developed and published </w:t>
            </w:r>
          </w:p>
          <w:p w:rsidR="00E4512F" w:rsidRPr="00A02DB5" w:rsidRDefault="00E4512F">
            <w:pPr>
              <w:rPr>
                <w:rFonts w:ascii="Arial" w:hAnsi="Arial" w:cs="Arial"/>
              </w:rPr>
            </w:pPr>
          </w:p>
        </w:tc>
        <w:tc>
          <w:tcPr>
            <w:tcW w:w="7020" w:type="dxa"/>
          </w:tcPr>
          <w:p w:rsidR="00F56030" w:rsidRPr="00F56030" w:rsidRDefault="00F56030" w:rsidP="00F56030">
            <w:pPr>
              <w:jc w:val="both"/>
              <w:rPr>
                <w:rFonts w:ascii="Arial" w:hAnsi="Arial" w:cs="Arial"/>
              </w:rPr>
            </w:pPr>
            <w:r w:rsidRPr="00F56030">
              <w:rPr>
                <w:rFonts w:ascii="Arial" w:hAnsi="Arial" w:cs="Arial"/>
              </w:rPr>
              <w:lastRenderedPageBreak/>
              <w:t xml:space="preserve">With all the activities that we have done we have documented some of the lessons learnt and best practices. </w:t>
            </w:r>
          </w:p>
          <w:p w:rsidR="00F56030" w:rsidRPr="00F56030" w:rsidRDefault="00F56030" w:rsidP="00F56030">
            <w:pPr>
              <w:jc w:val="both"/>
              <w:rPr>
                <w:rFonts w:ascii="Arial" w:hAnsi="Arial" w:cs="Arial"/>
                <w:sz w:val="24"/>
                <w:szCs w:val="24"/>
              </w:rPr>
            </w:pPr>
          </w:p>
          <w:p w:rsidR="00A457CE" w:rsidRPr="00A02DB5" w:rsidRDefault="00F56030" w:rsidP="00F56030">
            <w:pPr>
              <w:jc w:val="both"/>
              <w:rPr>
                <w:rFonts w:ascii="Arial" w:hAnsi="Arial" w:cs="Arial"/>
              </w:rPr>
            </w:pPr>
            <w:r w:rsidRPr="00F56030">
              <w:rPr>
                <w:rFonts w:ascii="Arial" w:hAnsi="Arial" w:cs="Arial"/>
              </w:rPr>
              <w:t>During our own evaluations some of the lessons learnt and best practices were discussed and recorded as part of the reporting of activities.</w:t>
            </w:r>
          </w:p>
        </w:tc>
      </w:tr>
      <w:tr w:rsidR="00E4512F" w:rsidRPr="00D03D3C" w:rsidTr="004D7DEF">
        <w:tc>
          <w:tcPr>
            <w:tcW w:w="3116" w:type="dxa"/>
          </w:tcPr>
          <w:p w:rsidR="00E4512F" w:rsidRPr="00D03D3C" w:rsidRDefault="00E4512F">
            <w:pPr>
              <w:rPr>
                <w:rFonts w:ascii="Arial" w:hAnsi="Arial" w:cs="Arial"/>
              </w:rPr>
            </w:pPr>
          </w:p>
        </w:tc>
        <w:tc>
          <w:tcPr>
            <w:tcW w:w="2909" w:type="dxa"/>
          </w:tcPr>
          <w:p w:rsidR="00E4512F" w:rsidRPr="00D03D3C" w:rsidRDefault="00E4512F">
            <w:pPr>
              <w:rPr>
                <w:rFonts w:ascii="Arial" w:hAnsi="Arial" w:cs="Arial"/>
              </w:rPr>
            </w:pPr>
          </w:p>
        </w:tc>
        <w:tc>
          <w:tcPr>
            <w:tcW w:w="7020" w:type="dxa"/>
          </w:tcPr>
          <w:p w:rsidR="004E224E" w:rsidRPr="004E224E" w:rsidRDefault="004E224E" w:rsidP="004E224E">
            <w:pPr>
              <w:ind w:left="360"/>
              <w:rPr>
                <w:rFonts w:ascii="Arial" w:hAnsi="Arial" w:cs="Arial"/>
              </w:rPr>
            </w:pPr>
          </w:p>
        </w:tc>
      </w:tr>
    </w:tbl>
    <w:p w:rsidR="00F04A7B" w:rsidRDefault="00F04A7B"/>
    <w:sectPr w:rsidR="00F04A7B" w:rsidSect="00E4512F">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73E" w:rsidRDefault="00A8773E" w:rsidP="00C75FB3">
      <w:pPr>
        <w:spacing w:after="0" w:line="240" w:lineRule="auto"/>
      </w:pPr>
      <w:r>
        <w:separator/>
      </w:r>
    </w:p>
  </w:endnote>
  <w:endnote w:type="continuationSeparator" w:id="0">
    <w:p w:rsidR="00A8773E" w:rsidRDefault="00A8773E" w:rsidP="00C7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73E" w:rsidRDefault="00A8773E" w:rsidP="00C75FB3">
      <w:pPr>
        <w:spacing w:after="0" w:line="240" w:lineRule="auto"/>
      </w:pPr>
      <w:r>
        <w:separator/>
      </w:r>
    </w:p>
  </w:footnote>
  <w:footnote w:type="continuationSeparator" w:id="0">
    <w:p w:rsidR="00A8773E" w:rsidRDefault="00A8773E" w:rsidP="00C75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B3" w:rsidRDefault="00323D77" w:rsidP="00C75FB3">
    <w:pPr>
      <w:pStyle w:val="Header"/>
      <w:jc w:val="center"/>
      <w:rPr>
        <w:b/>
      </w:rPr>
    </w:pPr>
    <w:r>
      <w:rPr>
        <w:b/>
      </w:rPr>
      <w:t xml:space="preserve">ADRA PNG </w:t>
    </w:r>
    <w:r w:rsidR="00C75FB3">
      <w:rPr>
        <w:b/>
      </w:rPr>
      <w:t>CHURCH PROJECT</w:t>
    </w:r>
  </w:p>
  <w:p w:rsidR="00C75FB3" w:rsidRPr="00C75FB3" w:rsidRDefault="00A02DB5" w:rsidP="00C75FB3">
    <w:pPr>
      <w:pStyle w:val="Header"/>
      <w:jc w:val="center"/>
      <w:rPr>
        <w:b/>
      </w:rPr>
    </w:pPr>
    <w:proofErr w:type="spellStart"/>
    <w:r>
      <w:rPr>
        <w:b/>
      </w:rPr>
      <w:t>Morobe</w:t>
    </w:r>
    <w:proofErr w:type="spellEnd"/>
    <w:r>
      <w:rPr>
        <w:b/>
      </w:rPr>
      <w:t xml:space="preserve"> Province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05638"/>
    <w:multiLevelType w:val="hybridMultilevel"/>
    <w:tmpl w:val="855A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64D56"/>
    <w:multiLevelType w:val="hybridMultilevel"/>
    <w:tmpl w:val="319238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F22F05"/>
    <w:multiLevelType w:val="hybridMultilevel"/>
    <w:tmpl w:val="AF281374"/>
    <w:lvl w:ilvl="0" w:tplc="C480DF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7B"/>
    <w:rsid w:val="00002B5D"/>
    <w:rsid w:val="000C2529"/>
    <w:rsid w:val="001A79E0"/>
    <w:rsid w:val="002119A6"/>
    <w:rsid w:val="00323D77"/>
    <w:rsid w:val="00325FBF"/>
    <w:rsid w:val="00342100"/>
    <w:rsid w:val="00381906"/>
    <w:rsid w:val="004D7DEF"/>
    <w:rsid w:val="004E224E"/>
    <w:rsid w:val="00504C57"/>
    <w:rsid w:val="00651B42"/>
    <w:rsid w:val="00663C17"/>
    <w:rsid w:val="006C0441"/>
    <w:rsid w:val="00744272"/>
    <w:rsid w:val="00755B93"/>
    <w:rsid w:val="0091100E"/>
    <w:rsid w:val="00930EA6"/>
    <w:rsid w:val="009F041E"/>
    <w:rsid w:val="00A02DB5"/>
    <w:rsid w:val="00A142FD"/>
    <w:rsid w:val="00A457CE"/>
    <w:rsid w:val="00A8773E"/>
    <w:rsid w:val="00AE3E1B"/>
    <w:rsid w:val="00B33807"/>
    <w:rsid w:val="00C75FB3"/>
    <w:rsid w:val="00C81059"/>
    <w:rsid w:val="00C97B10"/>
    <w:rsid w:val="00CD6178"/>
    <w:rsid w:val="00CE277B"/>
    <w:rsid w:val="00D03D3C"/>
    <w:rsid w:val="00DA454F"/>
    <w:rsid w:val="00E4512F"/>
    <w:rsid w:val="00E914B8"/>
    <w:rsid w:val="00EE29B2"/>
    <w:rsid w:val="00EF2DF4"/>
    <w:rsid w:val="00F04A7B"/>
    <w:rsid w:val="00F56030"/>
    <w:rsid w:val="00F63017"/>
    <w:rsid w:val="00FE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44884-B24B-43B3-89F0-E06B1AEC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03D3C"/>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C7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FB3"/>
  </w:style>
  <w:style w:type="paragraph" w:styleId="Footer">
    <w:name w:val="footer"/>
    <w:basedOn w:val="Normal"/>
    <w:link w:val="FooterChar"/>
    <w:uiPriority w:val="99"/>
    <w:unhideWhenUsed/>
    <w:rsid w:val="00C7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2015-09-22T04:00:00+00:00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1107</Value>
      <Value>1599</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00059799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PNG</TermName>
          <TermId xmlns="http://schemas.microsoft.com/office/infopath/2007/PartnerControls">e0ee7c99-83b6-45c8-8d0f-c4d50ce43643</TermId>
        </TermInfo>
      </Terms>
    </gc6531b704974d528487414686b72f6f>
    <_dlc_DocId xmlns="f1161f5b-24a3-4c2d-bc81-44cb9325e8ee">ATLASPDC-4-38894</_dlc_DocId>
    <_dlc_DocIdUrl xmlns="f1161f5b-24a3-4c2d-bc81-44cb9325e8ee">
      <Url>https://info.undp.org/docs/pdc/_layouts/DocIdRedir.aspx?ID=ATLASPDC-4-38894</Url>
      <Description>ATLASPDC-4-38894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5AD07-B59A-4590-9943-1D21B9DDB792}"/>
</file>

<file path=customXml/itemProps2.xml><?xml version="1.0" encoding="utf-8"?>
<ds:datastoreItem xmlns:ds="http://schemas.openxmlformats.org/officeDocument/2006/customXml" ds:itemID="{180A3D21-AFF6-4227-947E-DA654058FCEC}"/>
</file>

<file path=customXml/itemProps3.xml><?xml version="1.0" encoding="utf-8"?>
<ds:datastoreItem xmlns:ds="http://schemas.openxmlformats.org/officeDocument/2006/customXml" ds:itemID="{564153D5-9C69-4AD5-960D-19BBA1C9E921}"/>
</file>

<file path=customXml/itemProps4.xml><?xml version="1.0" encoding="utf-8"?>
<ds:datastoreItem xmlns:ds="http://schemas.openxmlformats.org/officeDocument/2006/customXml" ds:itemID="{30DCC709-667B-4148-A33E-533D74457138}"/>
</file>

<file path=customXml/itemProps5.xml><?xml version="1.0" encoding="utf-8"?>
<ds:datastoreItem xmlns:ds="http://schemas.openxmlformats.org/officeDocument/2006/customXml" ds:itemID="{6BD164B5-3E60-4E3C-8653-7AAA406E7B6D}"/>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Varage Geno</dc:creator>
  <cp:keywords/>
  <dc:description/>
  <cp:lastModifiedBy>Avish Raj</cp:lastModifiedBy>
  <cp:revision>2</cp:revision>
  <dcterms:created xsi:type="dcterms:W3CDTF">2015-08-20T08:31:00Z</dcterms:created>
  <dcterms:modified xsi:type="dcterms:W3CDTF">2015-08-20T08:31:00Z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1599;#PNG|e0ee7c99-83b6-45c8-8d0f-c4d50ce43643</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1107;#Other|10be685e-4bef-4aec-b905-4df3748c0781</vt:lpwstr>
  </property>
  <property fmtid="{D5CDD505-2E9C-101B-9397-08002B2CF9AE}" pid="17" name="_dlc_DocIdItemGuid">
    <vt:lpwstr>2c0eb667-7487-4bab-9253-8e10503f7256</vt:lpwstr>
  </property>
  <property fmtid="{D5CDD505-2E9C-101B-9397-08002B2CF9AE}" pid="18" name="URL">
    <vt:lpwstr/>
  </property>
  <property fmtid="{D5CDD505-2E9C-101B-9397-08002B2CF9AE}" pid="19" name="DocumentSetDescription">
    <vt:lpwstr/>
  </property>
</Properties>
</file>